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6A04B7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bookmarkStart w:id="0" w:name="_GoBack"/>
      <w:bookmarkEnd w:id="0"/>
    </w:p>
    <w:p w14:paraId="6743E2B4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KONIEC 5 KLASY – KIERUNEK WYZNACZA ECODESIGN!</w:t>
      </w:r>
    </w:p>
    <w:p w14:paraId="325D07E8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</w:p>
    <w:p w14:paraId="36051411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Tzw. 5 klasa jakości środowiskowej i sprawności energetycznej kotłów c.o. według normy PN EN 303 – 5:2012 odeszła właśnie do lamusa.</w:t>
      </w:r>
    </w:p>
    <w:p w14:paraId="7BDFA045" w14:textId="77777777" w:rsid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 xml:space="preserve">Kierunek rozwoju urządzeń wyznacza nowa dyrektywa </w:t>
      </w: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 xml:space="preserve"> (zwana dyrektywą </w:t>
      </w:r>
      <w:proofErr w:type="spellStart"/>
      <w:r w:rsidRPr="00593A3A">
        <w:rPr>
          <w:rFonts w:ascii="Arial" w:hAnsi="Arial" w:cs="Arial"/>
          <w:lang w:val="pl-PL"/>
        </w:rPr>
        <w:t>Ekoprojektu</w:t>
      </w:r>
      <w:proofErr w:type="spellEnd"/>
      <w:r w:rsidRPr="00593A3A">
        <w:rPr>
          <w:rFonts w:ascii="Arial" w:hAnsi="Arial" w:cs="Arial"/>
          <w:lang w:val="pl-PL"/>
        </w:rPr>
        <w:t xml:space="preserve">). Dzięki temu surowe wymogi środowiskowe określone przepisami faktycznie obowiązują w prawdziwym życiu, a nie tylko w laboratorium badającym kotły. Certyfikat </w:t>
      </w: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 xml:space="preserve"> to gwarancja najwyższej jakości urządzeń grzewczych.</w:t>
      </w:r>
    </w:p>
    <w:p w14:paraId="23E3311C" w14:textId="55866F47" w:rsidR="000A16AE" w:rsidRDefault="000A16AE" w:rsidP="00593A3A">
      <w:pPr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noProof/>
          <w:lang w:val="pl-PL" w:eastAsia="pl-PL"/>
        </w:rPr>
        <w:drawing>
          <wp:inline distT="0" distB="0" distL="0" distR="0" wp14:anchorId="2167EB89" wp14:editId="649B8437">
            <wp:extent cx="3651250" cy="3651250"/>
            <wp:effectExtent l="0" t="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bior_ecodesig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3730" cy="365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FD21E" w14:textId="77777777" w:rsidR="000A16AE" w:rsidRDefault="000A16AE" w:rsidP="00593A3A">
      <w:pPr>
        <w:jc w:val="both"/>
        <w:rPr>
          <w:rFonts w:ascii="Arial" w:hAnsi="Arial" w:cs="Arial"/>
          <w:lang w:val="pl-PL"/>
        </w:rPr>
      </w:pPr>
    </w:p>
    <w:p w14:paraId="6E8CA5A8" w14:textId="77777777" w:rsidR="000A16AE" w:rsidRDefault="000A16AE" w:rsidP="00593A3A">
      <w:pPr>
        <w:jc w:val="both"/>
        <w:rPr>
          <w:rFonts w:ascii="Arial" w:hAnsi="Arial" w:cs="Arial"/>
          <w:lang w:val="pl-PL"/>
        </w:rPr>
      </w:pPr>
    </w:p>
    <w:p w14:paraId="24BC194A" w14:textId="77777777" w:rsidR="000A16AE" w:rsidRPr="00593A3A" w:rsidRDefault="000A16AE" w:rsidP="00593A3A">
      <w:pPr>
        <w:jc w:val="both"/>
        <w:rPr>
          <w:rFonts w:ascii="Arial" w:hAnsi="Arial" w:cs="Arial"/>
          <w:lang w:val="pl-PL"/>
        </w:rPr>
      </w:pPr>
    </w:p>
    <w:p w14:paraId="4D147DF0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 xml:space="preserve">Kotły podczas rocznego cyklu użytkowania bardzo krótko pracują z maksymalną mocą. Pozostały okres to czas pracy z obniżoną mocą tj. w trybie podtrzymania (dotyczy to szczególnie kotłów na węgiel) oraz postoju. Wartości emisji spalin podczas osiągania mocy minimalnej są wtedy wyższe w porównaniu z pracą z mocą maksymalną. Rozporządzenie wykonawcze dyrektywy </w:t>
      </w: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 xml:space="preserve"> porządkuje tę kwestię, wprowadzając graniczne wartości emisji pyłów, organicznych związków gazowych (OGC), tlenku węgla i tlenków azotu (</w:t>
      </w:r>
      <w:proofErr w:type="spellStart"/>
      <w:r w:rsidRPr="00593A3A">
        <w:rPr>
          <w:rFonts w:ascii="Arial" w:hAnsi="Arial" w:cs="Arial"/>
          <w:lang w:val="pl-PL"/>
        </w:rPr>
        <w:t>NOx</w:t>
      </w:r>
      <w:proofErr w:type="spellEnd"/>
      <w:r w:rsidRPr="00593A3A">
        <w:rPr>
          <w:rFonts w:ascii="Arial" w:hAnsi="Arial" w:cs="Arial"/>
          <w:lang w:val="pl-PL"/>
        </w:rPr>
        <w:t>) zarówno przy mocy maksymalnej, jak i minimalnej.</w:t>
      </w:r>
    </w:p>
    <w:p w14:paraId="2630383B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 xml:space="preserve"> wprowadza również termin sezonowej efektywności energetycznej.</w:t>
      </w:r>
    </w:p>
    <w:p w14:paraId="22E9F352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W uproszczeniu: Efektywność energetyczna= sprawność kotła pomniejszona o zużycie energii elektrycznej</w:t>
      </w:r>
    </w:p>
    <w:p w14:paraId="042859FF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Już nie są teraz tak istotne parametry mocy nominalnej i minimalnej kotłów, na pierwszym miejscu jest sezonowa efektywność energetyczna ogrzewania pomieszczeń (</w:t>
      </w:r>
      <w:proofErr w:type="spellStart"/>
      <w:r w:rsidRPr="00593A3A">
        <w:rPr>
          <w:rFonts w:ascii="Arial" w:hAnsi="Arial" w:cs="Arial"/>
          <w:lang w:val="pl-PL"/>
        </w:rPr>
        <w:t>ηs</w:t>
      </w:r>
      <w:proofErr w:type="spellEnd"/>
      <w:r w:rsidRPr="00593A3A">
        <w:rPr>
          <w:rFonts w:ascii="Arial" w:hAnsi="Arial" w:cs="Arial"/>
          <w:lang w:val="pl-PL"/>
        </w:rPr>
        <w:t xml:space="preserve">) oznaczająca, wyrażany w procentach, stosunek zapotrzebowania na ogrzewanie pomieszczeń w określonym sezonie ogrzewczym, zapewniane przez kocioł na paliwo stałe, do rocznego zużycia energii wymaganej do zaspokojenia tego </w:t>
      </w:r>
      <w:r w:rsidRPr="00593A3A">
        <w:rPr>
          <w:rFonts w:ascii="Arial" w:hAnsi="Arial" w:cs="Arial"/>
          <w:lang w:val="pl-PL"/>
        </w:rPr>
        <w:lastRenderedPageBreak/>
        <w:t>zapotrzebowania. Sezonowa efektywność energetyczna ogrzewania pomieszczeń dla kotłów o nominalnej mocy cieplnej 20 kW lub mniejszej nie może być mniejsza niż 75 %. Sezonowa efektywność energetyczna ogrzewania pomieszczeń dla kotłów o znamionowej mocy cieplnej przekraczającej 20 kW nie może być mniejsza niż 77 %.</w:t>
      </w:r>
    </w:p>
    <w:p w14:paraId="1B1150DF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</w:p>
    <w:p w14:paraId="02584E90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Nowym wymogiem jest też wyznaczenie progu emisji odpowiedzialnych za kwaśne deszcze tlenków azotu (</w:t>
      </w:r>
      <w:proofErr w:type="spellStart"/>
      <w:r w:rsidRPr="00593A3A">
        <w:rPr>
          <w:rFonts w:ascii="Arial" w:hAnsi="Arial" w:cs="Arial"/>
          <w:lang w:val="pl-PL"/>
        </w:rPr>
        <w:t>NOx</w:t>
      </w:r>
      <w:proofErr w:type="spellEnd"/>
      <w:r w:rsidRPr="00593A3A">
        <w:rPr>
          <w:rFonts w:ascii="Arial" w:hAnsi="Arial" w:cs="Arial"/>
          <w:lang w:val="pl-PL"/>
        </w:rPr>
        <w:t>). Emisje, wyrażone jako ekwiwalent dwutlenku azotu, dotyczące sezonowego ogrzewania pomieszczeń, nie mogą przekraczać 200 mg/m3 w przypadku kotłów na biomasę oraz 350 mg/m3 w przypadku kotłów na paliwa kopalne.</w:t>
      </w:r>
    </w:p>
    <w:p w14:paraId="10CA8BBC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 xml:space="preserve">Emisje cząstek stałych dotyczące sezonowego ogrzewania pomieszczeń nie mogą przekraczać 40 mg/m3 w przypadku kotłów z automatycznym podawaniem paliwa oraz 60 mg/m3 w przypadku kotłów z ręcznym podawaniem paliwa. Emisje organicznych związków nie mogą przekraczać 20 mg/m3 (podajnik) oraz 30 mg/m3 (ręczny załadunek). Z kolei granicą emisji tlenku węgla jest odpowiednio 500 mg/m3 oraz 700 mg/m3. </w:t>
      </w:r>
    </w:p>
    <w:p w14:paraId="455F5F39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 xml:space="preserve">Równie ważnym kryterium oceny kotłów według dyrektywy </w:t>
      </w: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 xml:space="preserve"> jest zużycie energii elektrycznej podczas pracy kotła. Od 1 kwietnia 2017 roku wszystkie urządzenia grzewcze sprzedawane w Unii Europejskiej będą objęte etykietowaniem, informującym o klasie energetycznej urządzenia. </w:t>
      </w:r>
    </w:p>
    <w:p w14:paraId="76D4F9D3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</w:p>
    <w:p w14:paraId="638117F9" w14:textId="77777777" w:rsidR="00593A3A" w:rsidRPr="00593A3A" w:rsidRDefault="00593A3A" w:rsidP="00593A3A">
      <w:pPr>
        <w:jc w:val="both"/>
        <w:rPr>
          <w:rFonts w:ascii="Arial" w:hAnsi="Arial" w:cs="Arial"/>
          <w:lang w:val="pl-PL"/>
        </w:rPr>
      </w:pPr>
      <w:r w:rsidRPr="00593A3A">
        <w:rPr>
          <w:rFonts w:ascii="Arial" w:hAnsi="Arial" w:cs="Arial"/>
          <w:lang w:val="pl-PL"/>
        </w:rPr>
        <w:t>Do roku 2020 wszystkie urządzenia grzewcze dopuszczone do sprzedaży muszą legitymować się certyfikatem „</w:t>
      </w:r>
      <w:proofErr w:type="spellStart"/>
      <w:r w:rsidRPr="00593A3A">
        <w:rPr>
          <w:rFonts w:ascii="Arial" w:hAnsi="Arial" w:cs="Arial"/>
          <w:lang w:val="pl-PL"/>
        </w:rPr>
        <w:t>Ecodesign</w:t>
      </w:r>
      <w:proofErr w:type="spellEnd"/>
      <w:r w:rsidRPr="00593A3A">
        <w:rPr>
          <w:rFonts w:ascii="Arial" w:hAnsi="Arial" w:cs="Arial"/>
          <w:lang w:val="pl-PL"/>
        </w:rPr>
        <w:t>”.</w:t>
      </w:r>
    </w:p>
    <w:p w14:paraId="6A81A344" w14:textId="77777777" w:rsidR="00B15D76" w:rsidRPr="00593A3A" w:rsidRDefault="007B6980" w:rsidP="00593A3A">
      <w:pPr>
        <w:jc w:val="both"/>
        <w:rPr>
          <w:rFonts w:ascii="Arial" w:hAnsi="Arial" w:cs="Arial"/>
          <w:lang w:val="pl-PL"/>
        </w:rPr>
      </w:pPr>
    </w:p>
    <w:sectPr w:rsidR="00B15D76" w:rsidRPr="00593A3A" w:rsidSect="00B825D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A3A"/>
    <w:rsid w:val="000A16AE"/>
    <w:rsid w:val="00593A3A"/>
    <w:rsid w:val="005D164E"/>
    <w:rsid w:val="0064412B"/>
    <w:rsid w:val="007B6980"/>
    <w:rsid w:val="007E5AA2"/>
    <w:rsid w:val="00B825D9"/>
    <w:rsid w:val="00BB4E65"/>
    <w:rsid w:val="00D16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E18E6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Macintosh Word</Application>
  <DocSecurity>0</DocSecurity>
  <Lines>21</Lines>
  <Paragraphs>6</Paragraphs>
  <ScaleCrop>false</ScaleCrop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Szulc</dc:creator>
  <cp:keywords/>
  <dc:description/>
  <cp:lastModifiedBy>Adam Szulc</cp:lastModifiedBy>
  <cp:revision>2</cp:revision>
  <dcterms:created xsi:type="dcterms:W3CDTF">2016-06-22T16:17:00Z</dcterms:created>
  <dcterms:modified xsi:type="dcterms:W3CDTF">2016-06-22T16:17:00Z</dcterms:modified>
</cp:coreProperties>
</file>